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2021</w:t>
      </w:r>
      <w:r>
        <w:t xml:space="preserve"> ж.</w:t>
      </w:r>
    </w:p>
    <w:p/>
    <w:p/>
    <w:p/>
    <w:p/>
    <w:p>
      <w:pPr>
        <w:jc w:val="center"/>
      </w:pPr>
      <w:r>
        <w:rPr>
          <w:b w:val="1"/>
        </w:rPr>
        <w:t>МАРКЕТИНГ</w:t>
      </w:r>
    </w:p>
    <w:p>
      <w:pPr>
        <w:jc w:val="center"/>
      </w:pPr>
      <w:r>
        <w:t>Жұмыс оқу бағдарламасы (силлабус)</w:t>
      </w:r>
    </w:p>
    <w:p/>
    <w:p/>
    <w:p/>
    <w:p/>
    <w:p>
      <w:r>
        <w:t>Білім беру бағдарламасы: 6B11302 Логистика (Көлік)</w:t>
      </w:r>
    </w:p>
    <w:p>
      <w:r>
        <w:t>Пәндерінің коды: Mar3301</w:t>
      </w:r>
    </w:p>
    <w:p>
      <w:r>
        <w:t>Кредиттер саны: 5</w:t>
      </w:r>
    </w:p>
    <w:p>
      <w:r>
        <w:t>Цикл: КП</w:t>
      </w:r>
    </w:p>
    <w:p>
      <w:r>
        <w:t>Компонент: ЖК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Мектептің/факультеттің ғылыми кеңесімен мақұлданған</w:t>
      </w:r>
    </w:p>
    <w:p/>
    <w:p>
      <w:pPr>
        <w:tabs>
          <w:tab w:val="left" w:pos="6500"/>
        </w:tabs>
      </w:pPr>
      <w:r>
        <w:t>Төрағасы</w:t>
        <w:tab/>
        <w:r>
          <w:t>Кабдулшарипова А.М.</w:t>
        </w:r>
      </w:r>
    </w:p>
    <w:p>
      <w:r>
        <w:t xml:space="preserve">Күні    </w:t>
      </w:r>
      <w:r>
        <w:t>02.09.2021</w:t>
      </w:r>
      <w:r>
        <w:t xml:space="preserve"> ж.   хаттама </w:t>
      </w:r>
      <w:r>
        <w:t>№8</w:t>
      </w:r>
    </w:p>
    <w:p/>
    <w:p>
      <w:pPr>
        <w:tabs>
          <w:tab w:val="left" w:pos="6500"/>
        </w:tabs>
        <w:ind w:left="6500" w:hanging="6500"/>
        <w:jc w:val="left"/>
      </w:pPr>
      <w:r>
        <w:t>Оқу бағдарламасының басшысы</w:t>
        <w:tab/>
      </w:r>
      <w:r>
        <w:t>Конарбаева Г.Н.</w:t>
      </w:r>
    </w:p>
    <w:p>
      <w:pPr>
        <w:tabs>
          <w:tab w:val="left" w:pos="6500"/>
        </w:tabs>
        <w:ind w:left="6500" w:hanging="6500"/>
        <w:jc w:val="left"/>
      </w:pPr>
      <w:r>
        <w:tab/>
      </w:r>
      <w:r>
        <w:t>6B11302</w:t>
      </w:r>
    </w:p>
    <w:p/>
    <w:p>
      <w:pPr>
        <w:tabs>
          <w:tab w:val="left" w:pos="6500"/>
        </w:tabs>
        <w:ind w:left="6500" w:hanging="6500"/>
        <w:jc w:val="left"/>
      </w:pPr>
      <w:r>
        <w:t>Әзірлеген</w:t>
        <w:tab/>
      </w:r>
      <w:r>
        <w:t>Сизов М.В.</w:t>
      </w:r>
    </w:p>
    <w:p>
      <w:pPr>
        <w:tabs>
          <w:tab w:val="left" w:pos="6500"/>
        </w:tabs>
        <w:ind w:left="6500" w:hanging="6500"/>
        <w:jc w:val="left"/>
      </w:pPr>
      <w:r>
        <w:t>(Аты-жөні, лауазымы)</w:t>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t>КЕЛІСІЛДІ:</w:t>
      </w:r>
    </w:p>
    <w:p>
      <w:pPr>
        <w:tabs>
          <w:tab w:val="left" w:pos="6500"/>
        </w:tabs>
      </w:pPr>
      <w:r>
        <w:t> деканы</w:t>
        <w:tab/>
        <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кәсіпорындарда маркетингтік қызметтің тиімді жүйесін құрудың теориялық және практикалық негіздерін ашады, оның ішінде маркетингтік зерттеулер, баға, өткізу және коммуникациялық саясат жүргізу.</w:t>
      </w:r>
    </w:p>
    <w:p/>
    <w:p>
      <w:pPr>
        <w:jc w:val="center"/>
      </w:pPr>
      <w:r>
        <w:rPr>
          <w:b w:val="1"/>
        </w:rPr>
        <w:t>1.2 Пәнді оқытудың мақсаты мен міндеттері</w:t>
      </w:r>
    </w:p>
    <w:p/>
    <w:p>
      <w:pPr>
        <w:ind w:firstLine="567"/>
      </w:pPr>
      <w:r>
        <w:t>Пәнді оқытудың мақсаты:</w:t>
      </w:r>
    </w:p>
    <w:p>
      <w:pPr>
        <w:ind w:firstLine="567"/>
      </w:pPr>
      <w:r>
        <w:t>Стратегиялық және тактикалық маркетингтік шешімдерді табысты басқаруға және B2B және B2C кәсіпорындарында маркетингтік функцияны тәжірибелік ұйымдастыруға байланысты студенттердің кәсіби құзыреттерін қалыптастыру.</w:t>
      </w:r>
    </w:p>
    <w:p/>
    <w:p>
      <w:pPr>
        <w:ind w:firstLine="567"/>
      </w:pPr>
      <w:r>
        <w:t>Пәнді оқытудың міндеттері:</w:t>
      </w:r>
    </w:p>
    <w:p>
      <w:pPr>
        <w:ind w:firstLine="567"/>
      </w:pPr>
      <w:r>
        <w:t>- Нарықтық талдау ұйымдастыру және өткізу әдістемесі танысу</w:t>
      </w:r>
    </w:p>
    <w:p>
      <w:pPr>
        <w:ind w:firstLine="567"/>
      </w:pPr>
      <w:r>
        <w:t>- Деректерге бағдарланған маркетингті ұйымдастыру және жүргізу әдістемесін білу</w:t>
      </w:r>
    </w:p>
    <w:p>
      <w:pPr>
        <w:ind w:firstLine="567"/>
      </w:pPr>
      <w:r>
        <w:t>- Маркетинг ортасын және оның компоненттерін оқып үйренуде оқушыларға практикалық дағдыларды меңгеру</w:t>
      </w:r>
    </w:p>
    <w:p>
      <w:pPr>
        <w:ind w:firstLine="567"/>
      </w:pPr>
      <w:r>
        <w:t>- Студенттерге маркетингтік стратегия мен бағалық бағдарламаны әзірлеуде практикалық дағдыларды меңгеру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Көлік-логистикалық жүйелердегі жүктер мен жолаушыларды жеткізудің экономикалық мақсатқа сай әдістерін жоспарлауды жүзеге асыру.</w:t>
            </w:r>
          </w:p>
        </w:tc>
        <w:tc>
          <w:p>
            <w:r>
              <w:rPr>
                <w:sz w:val="20"/>
              </w:rPr>
              <w:t>РО14 - Көліктің коммерциялық қызметі бойынша білімді пайдалану, жүктерді жеткізуді ұйымдастыру саласында маркетингтік зерттеулерді жүзеге асыру.</w:t>
            </w:r>
          </w:p>
        </w:tc>
        <w:tc>
          <w:tcPr>
            <w:vMerge w:val="restart"/>
          </w:tcPr>
          <w:p>
            <w:pPr>
              <w:ind w:firstLine="567"/>
            </w:pPr>
            <w:r>
              <w:rPr>
                <w:sz w:val="20"/>
              </w:rPr>
              <w:t>- Ұйымдағы маркетингтің ғылыми-зерттеу және аналитикалық функцияларын ұйымдастыру</w:t>
            </w:r>
          </w:p>
          <w:p>
            <w:pPr>
              <w:ind w:firstLine="567"/>
            </w:pPr>
            <w:r>
              <w:rPr>
                <w:sz w:val="20"/>
              </w:rPr>
              <w:t>- Ұйымның маркетингтік бағдарламасының қолданыстағы тактикалық тәжірибесінің ерекшеліктері</w:t>
            </w:r>
          </w:p>
          <w:p>
            <w:pPr>
              <w:ind w:firstLine="567"/>
            </w:pPr>
            <w:r>
              <w:rPr>
                <w:sz w:val="20"/>
              </w:rPr>
              <w:t>- Ұйымның маркетингтік шешімдеріне әсер ететін бизнес-процестердің картасын құру нысандары</w:t>
            </w:r>
          </w:p>
          <w:p>
            <w:pPr>
              <w:ind w:firstLine="567"/>
            </w:pPr>
            <w:r>
              <w:rPr>
                <w:sz w:val="20"/>
              </w:rPr>
              <w:t>- Кәсіпорындағы маркетингтік функциялардың стратегиясын және тактикасын тәуелсіз дамыту</w:t>
            </w:r>
          </w:p>
          <w:p>
            <w:pPr>
              <w:ind w:firstLine="567"/>
            </w:pPr>
            <w:r>
              <w:rPr>
                <w:sz w:val="20"/>
              </w:rPr>
              <w:t>- Компанияның маркетинг бөлімін ұйымдастыру және үйлестіру</w:t>
            </w:r>
          </w:p>
          <w:p>
            <w:pPr>
              <w:ind w:firstLine="567"/>
            </w:pPr>
            <w:r>
              <w:rPr>
                <w:sz w:val="20"/>
              </w:rPr>
              <w:t>- Маркетинг мамандары үшін жұмыс көрсеткіштерінің жүйесін әзірлеу және түзету</w:t>
            </w:r>
          </w:p>
          <w:p>
            <w:pPr>
              <w:ind w:firstLine="567"/>
            </w:pPr>
            <w:r>
              <w:rPr>
                <w:sz w:val="20"/>
              </w:rPr>
              <w:t>- Маркетингтік науқандардың әртүрлі нысандарын қолданудың орындылығы</w:t>
            </w:r>
          </w:p>
          <w:p>
            <w:pPr>
              <w:ind w:firstLine="567"/>
            </w:pPr>
            <w:r>
              <w:rPr>
                <w:sz w:val="20"/>
              </w:rPr>
              <w:t>- Маркетингтік коммуникация саласындағы қолданбалы тактикалық шешімдердің экономикалық негіздемесі</w:t>
            </w:r>
          </w:p>
          <w:p>
            <w:pPr>
              <w:ind w:firstLine="567"/>
            </w:pPr>
            <w:r>
              <w:rPr>
                <w:sz w:val="20"/>
              </w:rPr>
              <w:t>- Сындарлы үнқатысуды жүргізу және қажетті контактіні сақтау мүмкіндігі</w:t>
            </w:r>
          </w:p>
          <w:p>
            <w:pPr>
              <w:ind w:firstLine="567"/>
            </w:pPr>
            <w:r>
              <w:rPr>
                <w:sz w:val="20"/>
              </w:rPr>
              <w:t>- Сыртқы байланыс ортасының көріністеріне төзімділік</w:t>
            </w:r>
          </w:p>
          <w:p>
            <w:pPr>
              <w:ind w:firstLine="567"/>
            </w:pPr>
            <w:r>
              <w:rPr>
                <w:sz w:val="20"/>
              </w:rPr>
              <w:t>- Өз пікіріңізді және пікіріңізді қалыптастыру мүмкіндігі</w:t>
            </w:r>
          </w:p>
          <w:p>
            <w:pPr>
              <w:ind w:firstLine="567"/>
            </w:pPr>
            <w:r>
              <w:rPr>
                <w:sz w:val="20"/>
              </w:rPr>
              <w:t>- Сыни ойлау мүмкіндігі</w:t>
            </w:r>
          </w:p>
          <w:p/>
        </w:tc>
      </w:tr>
      <w:tr>
        <w:tc>
          <w:tcPr>
            <w:vMerge w:val="restart"/>
          </w:tcPr>
          <w:p>
            <w:pPr>
              <w:jc w:val="center"/>
            </w:pPr>
            <w:r>
              <w:rPr>
                <w:sz w:val="20"/>
              </w:rPr>
              <w:t>КК8 - Логистика бойынша мамандардың өндірістік, көліктік, технологиялық және ақпараттық қызметі мәселелерінде логистикалық тәсілдердің мәнін түсіну.</w:t>
            </w:r>
          </w:p>
        </w:tc>
        <w:tc>
          <w:p>
            <w:r>
              <w:rPr>
                <w:sz w:val="20"/>
              </w:rPr>
              <w:t>РО16 - Технологиялық және ұйымдастыру іс-шараларын жүзеге асыру саласында біліктілік сипаттамасының, мамандық бөлінісінде білім мен іскерліктің талаптар деңгейіне қол жеткізу</w:t>
            </w:r>
          </w:p>
        </w:tc>
        <w:tc>
          <w:tcPr>
            <w:vMerge w:val="continue"/>
          </w:tcPr>
          <w:p/>
        </w:tc>
      </w:tr>
      <w:tr>
        <w:tc>
          <w:tcPr>
            <w:vMerge w:val="continue"/>
          </w:tcPr>
          <w:p/>
        </w:tc>
        <w:tc>
          <w:p>
            <w:r>
              <w:rPr>
                <w:sz w:val="20"/>
              </w:rPr>
              <w:t>РО17 - Күнделікті кәсіби қызметке және магистратурада білімін жалғастыруға қажетті дағдылар мен арнайы білім алу.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Оқыту форматы</w:t>
      </w:r>
    </w:p>
    <w:p/>
    <w:p/>
    <w:p>
      <w:pPr>
        <w:jc w:val="center"/>
      </w:pPr>
      <w:r>
        <w:rPr>
          <w:b w:val="1"/>
        </w:rPr>
        <w:t>1.5 Пререквизиттер</w:t>
      </w:r>
    </w:p>
    <w:p/>
    <w:p>
      <w:pPr>
        <w:ind w:firstLine="567"/>
      </w:pPr>
      <w:r>
        <w:t>- Тасымалдауды ұйымдастыру және козғалысты басқару</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30</w:t>
            </w:r>
          </w:p>
        </w:tc>
      </w:tr>
      <w:tr>
        <w:tc>
          <w:p>
            <w:r>
              <w:t>Практикалық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r>
        <w:tc>
          <w:tcPr>
            <w:gridSpan w:val="4"/>
          </w:tcPr>
          <w:p>
            <w:pPr>
              <w:jc w:val="center"/>
            </w:pPr>
            <w:r>
              <w:rPr>
                <w:b w:val="1"/>
              </w:rPr>
              <w:t>Практикалық сабақтар / Практические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8"/>
          </w:tcPr>
          <w:p>
            <w:pPr>
              <w:jc w:val="center"/>
            </w:pPr>
            <w:r>
              <w:t>Академиялық оқу кезеңі, апта</w:t>
            </w:r>
          </w:p>
        </w:tc>
      </w:tr>
      <w:tr>
        <w:trPr>
          <w:tblHeader w:val="1"/>
        </w:trPr>
        <w:tc>
          <w:tcPr>
            <w:vMerge w:val="continue"/>
          </w:tcPr>
          <w:p/>
        </w:tc>
        <w:tc>
          <w:tcPr>
            <w:tcW w:type="pct" w:w="393"/>
          </w:tcPr>
          <w:p>
            <w:pPr>
              <w:jc w:val="center"/>
            </w:pPr>
            <w:r>
              <w:t>1</w:t>
            </w:r>
          </w:p>
        </w:tc>
        <w:tc>
          <w:tcPr>
            <w:tcW w:type="pct" w:w="393"/>
          </w:tcPr>
          <w:p>
            <w:pPr>
              <w:jc w:val="center"/>
            </w:pPr>
            <w:r>
              <w:t>2</w:t>
            </w:r>
          </w:p>
        </w:tc>
        <w:tc>
          <w:tcPr>
            <w:tcW w:type="pct" w:w="393"/>
          </w:tcPr>
          <w:p>
            <w:pPr>
              <w:jc w:val="center"/>
            </w:pPr>
            <w:r>
              <w:t>3</w:t>
            </w:r>
          </w:p>
        </w:tc>
        <w:tc>
          <w:tcPr>
            <w:tcW w:type="pct" w:w="393"/>
          </w:tcPr>
          <w:p>
            <w:pPr>
              <w:jc w:val="center"/>
            </w:pPr>
            <w:r>
              <w:t>4</w:t>
            </w:r>
          </w:p>
        </w:tc>
        <w:tc>
          <w:tcPr>
            <w:tcW w:type="pct" w:w="393"/>
          </w:tcPr>
          <w:p>
            <w:pPr>
              <w:jc w:val="center"/>
            </w:pPr>
            <w:r>
              <w:t>5</w:t>
            </w:r>
          </w:p>
        </w:tc>
        <w:tc>
          <w:tcPr>
            <w:tcW w:type="pct" w:w="393"/>
          </w:tcPr>
          <w:p>
            <w:pPr>
              <w:jc w:val="center"/>
            </w:pPr>
            <w:r>
              <w:t>6</w:t>
            </w:r>
          </w:p>
        </w:tc>
        <w:tc>
          <w:tcPr>
            <w:tcW w:type="pct" w:w="393"/>
          </w:tcPr>
          <w:p>
            <w:pPr>
              <w:jc w:val="center"/>
            </w:pPr>
            <w:r>
              <w:t>7</w:t>
            </w:r>
          </w:p>
        </w:tc>
        <w:tc>
          <w:tcPr>
            <w:tcW w:type="pct" w:w="393"/>
          </w:tcPr>
          <w:p>
            <w:pPr>
              <w:jc w:val="center"/>
            </w:pPr>
            <w:r>
              <w:t>8</w:t>
            </w:r>
          </w:p>
        </w:tc>
      </w:tr>
      <w:tr>
        <w:tc>
          <w:tcPr>
            <w:gridSpan w:val="9"/>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Ким Ч., Моборн Р. Стратегия голубого океана. - М.: Издательство "МИФ", 2018. - 204с. 2. Scenarios: The Art of Strategic Conversation by Kees Van Der Heijden. John Wiley, Feb 2009 3. The Scenario Planning Handbook by Bill Ralston and Ian Wilson, Thomason, 2016 4. Learning from the Future : Competitive Foresight Scenarios by Liam Fahey (Editor), Robert M.Randall (Contributor). John Wiley, 2015 5. Issues Management: How You Can Plan, Organize and Manage for the Future by Joseph Coates. Lomond 2000 6. 20/20 Foresight: Crafting Strategy in an Uncertain World by Hugh Courtney. Harvard Business School Press, 2015 7. Третьяк П.В. Форсайт как технология активного предвидения, 2014 8. Адизес И.К. Развитие лидеров. - М.: Издательство "МИФ", 2018. - 100с. 9. Друкер П. Бизнес и инновации. – М.: Издательство "Питер", 2018. – 160 с. 10. Секерин В.Д. Маркетинг / Учебно-практическое пособие. – М.: ЗАО «Бизнес-школа Интел-Синтез», 2014. – 160 с. 11. Голубков Е.П. Маркетинговые исследования: теория, методология и практика. – М.: Издательство «Финпресс», 2015. – 416 с. 12. Гончарова Н.П., Перерва П.Г. и др. Маркетинг инновационного процесса: Учебное пособие. – К.: 2012. – 267 с.</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